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6F" w:rsidRPr="000A1BE0" w:rsidRDefault="000A1BE0" w:rsidP="000A1BE0">
      <w:pPr>
        <w:jc w:val="right"/>
        <w:rPr>
          <w:sz w:val="18"/>
          <w:szCs w:val="18"/>
        </w:rPr>
      </w:pPr>
      <w:r w:rsidRPr="000A1BE0">
        <w:rPr>
          <w:sz w:val="18"/>
          <w:szCs w:val="18"/>
        </w:rPr>
        <w:t>Nom du ou de la cliente :</w:t>
      </w:r>
    </w:p>
    <w:p w:rsidR="000A1BE0" w:rsidRPr="000A1BE0" w:rsidRDefault="000A1BE0" w:rsidP="000A1BE0">
      <w:pPr>
        <w:jc w:val="right"/>
        <w:rPr>
          <w:sz w:val="18"/>
          <w:szCs w:val="18"/>
        </w:rPr>
      </w:pPr>
      <w:r w:rsidRPr="000A1BE0">
        <w:rPr>
          <w:sz w:val="18"/>
          <w:szCs w:val="18"/>
        </w:rPr>
        <w:t>Adresse :</w:t>
      </w:r>
    </w:p>
    <w:p w:rsidR="000A1BE0" w:rsidRPr="000A1BE0" w:rsidRDefault="000A1BE0" w:rsidP="000A1BE0">
      <w:pPr>
        <w:jc w:val="right"/>
        <w:rPr>
          <w:sz w:val="18"/>
          <w:szCs w:val="18"/>
        </w:rPr>
      </w:pPr>
      <w:r w:rsidRPr="000A1BE0">
        <w:rPr>
          <w:sz w:val="18"/>
          <w:szCs w:val="18"/>
        </w:rPr>
        <w:t>N</w:t>
      </w:r>
      <w:r w:rsidRPr="000A1BE0">
        <w:rPr>
          <w:sz w:val="18"/>
          <w:szCs w:val="18"/>
          <w:vertAlign w:val="superscript"/>
        </w:rPr>
        <w:t>o</w:t>
      </w:r>
      <w:r>
        <w:rPr>
          <w:sz w:val="18"/>
          <w:szCs w:val="18"/>
        </w:rPr>
        <w:t xml:space="preserve"> </w:t>
      </w:r>
      <w:r w:rsidR="00180BAD">
        <w:rPr>
          <w:sz w:val="18"/>
          <w:szCs w:val="18"/>
        </w:rPr>
        <w:t>de l’</w:t>
      </w:r>
      <w:r>
        <w:rPr>
          <w:sz w:val="18"/>
          <w:szCs w:val="18"/>
        </w:rPr>
        <w:t>IA</w:t>
      </w:r>
      <w:r w:rsidRPr="000A1BE0">
        <w:rPr>
          <w:sz w:val="18"/>
          <w:szCs w:val="18"/>
        </w:rPr>
        <w:t> :</w:t>
      </w:r>
    </w:p>
    <w:p w:rsidR="000A1BE0" w:rsidRPr="000A1BE0" w:rsidRDefault="000A1BE0" w:rsidP="000A1BE0">
      <w:pPr>
        <w:jc w:val="right"/>
        <w:rPr>
          <w:sz w:val="18"/>
          <w:szCs w:val="18"/>
        </w:rPr>
      </w:pPr>
      <w:r w:rsidRPr="000A1BE0">
        <w:rPr>
          <w:sz w:val="18"/>
          <w:szCs w:val="18"/>
        </w:rPr>
        <w:t>DDN :</w:t>
      </w:r>
    </w:p>
    <w:p w:rsidR="000A1BE0" w:rsidRDefault="000A1BE0" w:rsidP="000A1BE0">
      <w:pPr>
        <w:jc w:val="center"/>
        <w:rPr>
          <w:b/>
          <w:sz w:val="18"/>
          <w:szCs w:val="18"/>
        </w:rPr>
      </w:pPr>
      <w:r w:rsidRPr="000A1BE0">
        <w:rPr>
          <w:b/>
          <w:sz w:val="18"/>
          <w:szCs w:val="18"/>
        </w:rPr>
        <w:t>LISTE DE PRÉPARATION AU DÉCÈS À DOMICILE</w:t>
      </w:r>
    </w:p>
    <w:p w:rsidR="000A1BE0" w:rsidRDefault="000A1BE0" w:rsidP="000A1BE0">
      <w:pPr>
        <w:jc w:val="center"/>
        <w:rPr>
          <w:b/>
          <w:sz w:val="18"/>
          <w:szCs w:val="18"/>
        </w:rPr>
      </w:pPr>
    </w:p>
    <w:tbl>
      <w:tblPr>
        <w:tblStyle w:val="Grilledutableau"/>
        <w:tblW w:w="0" w:type="auto"/>
        <w:tblLook w:val="04A0" w:firstRow="1" w:lastRow="0" w:firstColumn="1" w:lastColumn="0" w:noHBand="0" w:noVBand="1"/>
      </w:tblPr>
      <w:tblGrid>
        <w:gridCol w:w="988"/>
        <w:gridCol w:w="5169"/>
        <w:gridCol w:w="1131"/>
        <w:gridCol w:w="1196"/>
        <w:gridCol w:w="866"/>
      </w:tblGrid>
      <w:tr w:rsidR="000A1BE0" w:rsidTr="00C1438A">
        <w:tc>
          <w:tcPr>
            <w:tcW w:w="988" w:type="dxa"/>
          </w:tcPr>
          <w:p w:rsidR="000A1BE0" w:rsidRDefault="000A1BE0" w:rsidP="000A1BE0">
            <w:pPr>
              <w:rPr>
                <w:sz w:val="18"/>
                <w:szCs w:val="18"/>
              </w:rPr>
            </w:pPr>
            <w:r>
              <w:rPr>
                <w:sz w:val="18"/>
                <w:szCs w:val="18"/>
              </w:rPr>
              <w:t>Date (jj/mm/aa)</w:t>
            </w:r>
          </w:p>
        </w:tc>
        <w:tc>
          <w:tcPr>
            <w:tcW w:w="5244" w:type="dxa"/>
          </w:tcPr>
          <w:p w:rsidR="000A1BE0" w:rsidRDefault="000A1BE0" w:rsidP="000A1BE0">
            <w:pPr>
              <w:rPr>
                <w:sz w:val="18"/>
                <w:szCs w:val="18"/>
              </w:rPr>
            </w:pPr>
            <w:r>
              <w:rPr>
                <w:sz w:val="18"/>
                <w:szCs w:val="18"/>
              </w:rPr>
              <w:t>TÂCHES des professionnels de la santé : médecin, IP, IA, IAA, CC</w:t>
            </w:r>
          </w:p>
        </w:tc>
        <w:tc>
          <w:tcPr>
            <w:tcW w:w="1134" w:type="dxa"/>
          </w:tcPr>
          <w:p w:rsidR="000A1BE0" w:rsidRDefault="000A1BE0" w:rsidP="000A1BE0">
            <w:pPr>
              <w:rPr>
                <w:sz w:val="18"/>
                <w:szCs w:val="18"/>
              </w:rPr>
            </w:pPr>
            <w:r>
              <w:rPr>
                <w:sz w:val="18"/>
                <w:szCs w:val="18"/>
              </w:rPr>
              <w:t>Discussion</w:t>
            </w:r>
          </w:p>
          <w:p w:rsidR="000A1BE0" w:rsidRDefault="000A1BE0" w:rsidP="000A1BE0">
            <w:pPr>
              <w:rPr>
                <w:sz w:val="18"/>
                <w:szCs w:val="18"/>
              </w:rPr>
            </w:pPr>
          </w:p>
          <w:p w:rsidR="000A1BE0" w:rsidRDefault="000A1BE0" w:rsidP="000A1BE0">
            <w:pPr>
              <w:rPr>
                <w:sz w:val="18"/>
                <w:szCs w:val="18"/>
              </w:rPr>
            </w:pPr>
            <w:r>
              <w:rPr>
                <w:sz w:val="18"/>
                <w:szCs w:val="18"/>
              </w:rPr>
              <w:t>Oui ou non</w:t>
            </w:r>
          </w:p>
        </w:tc>
        <w:tc>
          <w:tcPr>
            <w:tcW w:w="1118" w:type="dxa"/>
          </w:tcPr>
          <w:p w:rsidR="000A1BE0" w:rsidRDefault="000A1BE0" w:rsidP="000A1BE0">
            <w:pPr>
              <w:rPr>
                <w:sz w:val="18"/>
                <w:szCs w:val="18"/>
              </w:rPr>
            </w:pPr>
            <w:r>
              <w:rPr>
                <w:sz w:val="18"/>
                <w:szCs w:val="18"/>
              </w:rPr>
              <w:t>Initiales du</w:t>
            </w:r>
          </w:p>
          <w:p w:rsidR="000A1BE0" w:rsidRDefault="00EE3744" w:rsidP="000A1BE0">
            <w:pPr>
              <w:rPr>
                <w:sz w:val="18"/>
                <w:szCs w:val="18"/>
              </w:rPr>
            </w:pPr>
            <w:r>
              <w:rPr>
                <w:sz w:val="18"/>
                <w:szCs w:val="18"/>
              </w:rPr>
              <w:t>Professionnel de la santé</w:t>
            </w:r>
          </w:p>
        </w:tc>
        <w:tc>
          <w:tcPr>
            <w:tcW w:w="866" w:type="dxa"/>
          </w:tcPr>
          <w:p w:rsidR="000A1BE0" w:rsidRDefault="000A1BE0" w:rsidP="000A1BE0">
            <w:pPr>
              <w:rPr>
                <w:sz w:val="18"/>
                <w:szCs w:val="18"/>
              </w:rPr>
            </w:pPr>
            <w:r>
              <w:rPr>
                <w:sz w:val="18"/>
                <w:szCs w:val="18"/>
              </w:rPr>
              <w:t>Avis ou télécopie</w:t>
            </w:r>
          </w:p>
        </w:tc>
      </w:tr>
      <w:tr w:rsidR="000A1BE0" w:rsidTr="00C1438A">
        <w:tc>
          <w:tcPr>
            <w:tcW w:w="988" w:type="dxa"/>
          </w:tcPr>
          <w:p w:rsidR="000A1BE0" w:rsidRDefault="000A1BE0" w:rsidP="000A1BE0">
            <w:pPr>
              <w:rPr>
                <w:sz w:val="18"/>
                <w:szCs w:val="18"/>
              </w:rPr>
            </w:pPr>
          </w:p>
        </w:tc>
        <w:tc>
          <w:tcPr>
            <w:tcW w:w="5244" w:type="dxa"/>
          </w:tcPr>
          <w:p w:rsidR="000A1BE0" w:rsidRPr="00ED0EDD" w:rsidRDefault="00B76078" w:rsidP="00EE3744">
            <w:pPr>
              <w:pStyle w:val="Paragraphedeliste"/>
              <w:numPr>
                <w:ilvl w:val="0"/>
                <w:numId w:val="2"/>
              </w:numPr>
              <w:ind w:left="175" w:hanging="218"/>
              <w:rPr>
                <w:sz w:val="18"/>
                <w:szCs w:val="18"/>
              </w:rPr>
            </w:pPr>
            <w:r w:rsidRPr="00ED0EDD">
              <w:rPr>
                <w:b/>
                <w:sz w:val="18"/>
                <w:szCs w:val="18"/>
              </w:rPr>
              <w:t>Planification préalable des soins</w:t>
            </w:r>
            <w:r w:rsidRPr="00ED0EDD">
              <w:rPr>
                <w:sz w:val="18"/>
                <w:szCs w:val="18"/>
              </w:rPr>
              <w:br/>
              <w:t>a.</w:t>
            </w:r>
            <w:r w:rsidR="00ED0EDD" w:rsidRPr="00ED0EDD">
              <w:rPr>
                <w:sz w:val="18"/>
                <w:szCs w:val="18"/>
              </w:rPr>
              <w:t xml:space="preserve"> </w:t>
            </w:r>
            <w:r w:rsidR="00EE3744">
              <w:rPr>
                <w:sz w:val="18"/>
                <w:szCs w:val="18"/>
              </w:rPr>
              <w:t>Revoir et déterminer l</w:t>
            </w:r>
            <w:r w:rsidR="00ED0EDD" w:rsidRPr="00ED0EDD">
              <w:rPr>
                <w:sz w:val="18"/>
                <w:szCs w:val="18"/>
              </w:rPr>
              <w:t xml:space="preserve">es objectifs et des préférences du </w:t>
            </w:r>
            <w:r w:rsidR="00EE3744">
              <w:rPr>
                <w:sz w:val="18"/>
                <w:szCs w:val="18"/>
              </w:rPr>
              <w:t xml:space="preserve">ou de la </w:t>
            </w:r>
            <w:r w:rsidR="00ED0EDD" w:rsidRPr="00ED0EDD">
              <w:rPr>
                <w:sz w:val="18"/>
                <w:szCs w:val="18"/>
              </w:rPr>
              <w:t>client</w:t>
            </w:r>
            <w:r w:rsidR="00EE3744">
              <w:rPr>
                <w:sz w:val="18"/>
                <w:szCs w:val="18"/>
              </w:rPr>
              <w:t>e</w:t>
            </w:r>
            <w:r w:rsidR="00ED0EDD" w:rsidRPr="00ED0EDD">
              <w:rPr>
                <w:sz w:val="18"/>
                <w:szCs w:val="18"/>
              </w:rPr>
              <w:t xml:space="preserve"> et de </w:t>
            </w:r>
            <w:r w:rsidR="0055376A">
              <w:rPr>
                <w:sz w:val="18"/>
                <w:szCs w:val="18"/>
              </w:rPr>
              <w:t>s</w:t>
            </w:r>
            <w:r w:rsidR="00ED0EDD" w:rsidRPr="00ED0EDD">
              <w:rPr>
                <w:sz w:val="18"/>
                <w:szCs w:val="18"/>
              </w:rPr>
              <w:t xml:space="preserve">a famille sur les soins et </w:t>
            </w:r>
            <w:r w:rsidR="0055376A">
              <w:rPr>
                <w:sz w:val="18"/>
                <w:szCs w:val="18"/>
              </w:rPr>
              <w:t xml:space="preserve">sur </w:t>
            </w:r>
            <w:r w:rsidR="00ED0EDD" w:rsidRPr="00ED0EDD">
              <w:rPr>
                <w:sz w:val="18"/>
                <w:szCs w:val="18"/>
              </w:rPr>
              <w:t>l’endroit où les fournir.</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0A1BE0" w:rsidRDefault="000A1BE0" w:rsidP="000A1BE0">
            <w:pPr>
              <w:rPr>
                <w:sz w:val="18"/>
                <w:szCs w:val="18"/>
              </w:rPr>
            </w:pPr>
          </w:p>
        </w:tc>
      </w:tr>
      <w:tr w:rsidR="000A1BE0" w:rsidTr="00C1438A">
        <w:tc>
          <w:tcPr>
            <w:tcW w:w="988" w:type="dxa"/>
          </w:tcPr>
          <w:p w:rsidR="000A1BE0" w:rsidRDefault="000A1BE0" w:rsidP="000A1BE0">
            <w:pPr>
              <w:rPr>
                <w:sz w:val="18"/>
                <w:szCs w:val="18"/>
              </w:rPr>
            </w:pPr>
          </w:p>
        </w:tc>
        <w:tc>
          <w:tcPr>
            <w:tcW w:w="5244" w:type="dxa"/>
          </w:tcPr>
          <w:p w:rsidR="000A1BE0" w:rsidRDefault="0055376A" w:rsidP="00E367DB">
            <w:pPr>
              <w:rPr>
                <w:sz w:val="18"/>
                <w:szCs w:val="18"/>
              </w:rPr>
            </w:pPr>
            <w:r>
              <w:rPr>
                <w:sz w:val="18"/>
                <w:szCs w:val="18"/>
              </w:rPr>
              <w:t xml:space="preserve">b. </w:t>
            </w:r>
            <w:r w:rsidR="00E367DB">
              <w:rPr>
                <w:sz w:val="18"/>
                <w:szCs w:val="18"/>
              </w:rPr>
              <w:t>Revoir</w:t>
            </w:r>
            <w:r>
              <w:rPr>
                <w:sz w:val="18"/>
                <w:szCs w:val="18"/>
              </w:rPr>
              <w:t xml:space="preserve"> et établi</w:t>
            </w:r>
            <w:r w:rsidR="00E367DB">
              <w:rPr>
                <w:sz w:val="18"/>
                <w:szCs w:val="18"/>
              </w:rPr>
              <w:t>r l</w:t>
            </w:r>
            <w:r>
              <w:rPr>
                <w:sz w:val="18"/>
                <w:szCs w:val="18"/>
              </w:rPr>
              <w:t>es directives préalables.</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0A1BE0" w:rsidRDefault="000A1BE0" w:rsidP="000A1BE0">
            <w:pPr>
              <w:rPr>
                <w:sz w:val="18"/>
                <w:szCs w:val="18"/>
              </w:rPr>
            </w:pPr>
          </w:p>
        </w:tc>
      </w:tr>
      <w:tr w:rsidR="000A1BE0" w:rsidTr="00C1438A">
        <w:tc>
          <w:tcPr>
            <w:tcW w:w="988" w:type="dxa"/>
          </w:tcPr>
          <w:p w:rsidR="000A1BE0" w:rsidRDefault="000A1BE0" w:rsidP="000A1BE0">
            <w:pPr>
              <w:rPr>
                <w:sz w:val="18"/>
                <w:szCs w:val="18"/>
              </w:rPr>
            </w:pPr>
          </w:p>
        </w:tc>
        <w:tc>
          <w:tcPr>
            <w:tcW w:w="5244" w:type="dxa"/>
          </w:tcPr>
          <w:p w:rsidR="000A1BE0" w:rsidRDefault="0055376A" w:rsidP="00E367DB">
            <w:pPr>
              <w:rPr>
                <w:sz w:val="18"/>
                <w:szCs w:val="18"/>
              </w:rPr>
            </w:pPr>
            <w:r>
              <w:rPr>
                <w:sz w:val="18"/>
                <w:szCs w:val="18"/>
              </w:rPr>
              <w:t>c. Inscri</w:t>
            </w:r>
            <w:r w:rsidR="00E367DB">
              <w:rPr>
                <w:sz w:val="18"/>
                <w:szCs w:val="18"/>
              </w:rPr>
              <w:t>re l</w:t>
            </w:r>
            <w:r>
              <w:rPr>
                <w:sz w:val="18"/>
                <w:szCs w:val="18"/>
              </w:rPr>
              <w:t>es directives préalables du client.</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0A1BE0" w:rsidRDefault="000A1BE0" w:rsidP="000A1BE0">
            <w:pPr>
              <w:rPr>
                <w:sz w:val="18"/>
                <w:szCs w:val="18"/>
              </w:rPr>
            </w:pPr>
          </w:p>
        </w:tc>
      </w:tr>
      <w:tr w:rsidR="000A1BE0" w:rsidTr="00C1438A">
        <w:tc>
          <w:tcPr>
            <w:tcW w:w="988" w:type="dxa"/>
          </w:tcPr>
          <w:p w:rsidR="000A1BE0" w:rsidRDefault="000A1BE0" w:rsidP="000A1BE0">
            <w:pPr>
              <w:rPr>
                <w:sz w:val="18"/>
                <w:szCs w:val="18"/>
              </w:rPr>
            </w:pPr>
          </w:p>
        </w:tc>
        <w:tc>
          <w:tcPr>
            <w:tcW w:w="5244" w:type="dxa"/>
          </w:tcPr>
          <w:p w:rsidR="000A1BE0" w:rsidRDefault="0055376A" w:rsidP="00E367DB">
            <w:pPr>
              <w:rPr>
                <w:sz w:val="18"/>
                <w:szCs w:val="18"/>
              </w:rPr>
            </w:pPr>
            <w:r>
              <w:rPr>
                <w:sz w:val="18"/>
                <w:szCs w:val="18"/>
              </w:rPr>
              <w:t>d. Évalu</w:t>
            </w:r>
            <w:r w:rsidR="00E367DB">
              <w:rPr>
                <w:sz w:val="18"/>
                <w:szCs w:val="18"/>
              </w:rPr>
              <w:t>er</w:t>
            </w:r>
            <w:r>
              <w:rPr>
                <w:sz w:val="18"/>
                <w:szCs w:val="18"/>
              </w:rPr>
              <w:t xml:space="preserve"> </w:t>
            </w:r>
            <w:r w:rsidR="00E367DB">
              <w:rPr>
                <w:sz w:val="18"/>
                <w:szCs w:val="18"/>
              </w:rPr>
              <w:t>l</w:t>
            </w:r>
            <w:r>
              <w:rPr>
                <w:sz w:val="18"/>
                <w:szCs w:val="18"/>
              </w:rPr>
              <w:t xml:space="preserve">es besoins psychosociaux du client et de sa famille; </w:t>
            </w:r>
            <w:r w:rsidR="00E367DB">
              <w:rPr>
                <w:sz w:val="18"/>
                <w:szCs w:val="18"/>
              </w:rPr>
              <w:t xml:space="preserve">en </w:t>
            </w:r>
            <w:r>
              <w:rPr>
                <w:sz w:val="18"/>
                <w:szCs w:val="18"/>
              </w:rPr>
              <w:t>discu</w:t>
            </w:r>
            <w:r w:rsidR="00E367DB">
              <w:rPr>
                <w:sz w:val="18"/>
                <w:szCs w:val="18"/>
              </w:rPr>
              <w:t xml:space="preserve">ter </w:t>
            </w:r>
            <w:r>
              <w:rPr>
                <w:sz w:val="18"/>
                <w:szCs w:val="18"/>
              </w:rPr>
              <w:t>et établi</w:t>
            </w:r>
            <w:r w:rsidR="00E367DB">
              <w:rPr>
                <w:sz w:val="18"/>
                <w:szCs w:val="18"/>
              </w:rPr>
              <w:t xml:space="preserve">r </w:t>
            </w:r>
            <w:r>
              <w:rPr>
                <w:sz w:val="18"/>
                <w:szCs w:val="18"/>
              </w:rPr>
              <w:t>un plan.</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0A1BE0" w:rsidRDefault="000A1BE0" w:rsidP="000A1BE0">
            <w:pPr>
              <w:rPr>
                <w:sz w:val="18"/>
                <w:szCs w:val="18"/>
              </w:rPr>
            </w:pPr>
          </w:p>
        </w:tc>
      </w:tr>
      <w:tr w:rsidR="000A1BE0" w:rsidTr="00C1438A">
        <w:tc>
          <w:tcPr>
            <w:tcW w:w="988" w:type="dxa"/>
          </w:tcPr>
          <w:p w:rsidR="000A1BE0" w:rsidRDefault="000A1BE0" w:rsidP="000A1BE0">
            <w:pPr>
              <w:rPr>
                <w:sz w:val="18"/>
                <w:szCs w:val="18"/>
              </w:rPr>
            </w:pPr>
          </w:p>
        </w:tc>
        <w:tc>
          <w:tcPr>
            <w:tcW w:w="5244" w:type="dxa"/>
          </w:tcPr>
          <w:p w:rsidR="000A1BE0" w:rsidRDefault="0055376A" w:rsidP="00E367DB">
            <w:pPr>
              <w:rPr>
                <w:sz w:val="18"/>
                <w:szCs w:val="18"/>
              </w:rPr>
            </w:pPr>
            <w:r>
              <w:rPr>
                <w:sz w:val="18"/>
                <w:szCs w:val="18"/>
              </w:rPr>
              <w:t xml:space="preserve">e. </w:t>
            </w:r>
            <w:r w:rsidR="00E367DB">
              <w:rPr>
                <w:sz w:val="18"/>
                <w:szCs w:val="18"/>
              </w:rPr>
              <w:t>Donner un s</w:t>
            </w:r>
            <w:r>
              <w:rPr>
                <w:sz w:val="18"/>
                <w:szCs w:val="18"/>
              </w:rPr>
              <w:t xml:space="preserve">outien émotionnel </w:t>
            </w:r>
            <w:r w:rsidR="00E367DB">
              <w:rPr>
                <w:sz w:val="18"/>
                <w:szCs w:val="18"/>
              </w:rPr>
              <w:t>a</w:t>
            </w:r>
            <w:r>
              <w:rPr>
                <w:sz w:val="18"/>
                <w:szCs w:val="18"/>
              </w:rPr>
              <w:t xml:space="preserve">u client et </w:t>
            </w:r>
            <w:r w:rsidR="00E367DB">
              <w:rPr>
                <w:sz w:val="18"/>
                <w:szCs w:val="18"/>
              </w:rPr>
              <w:t>à</w:t>
            </w:r>
            <w:r>
              <w:rPr>
                <w:sz w:val="18"/>
                <w:szCs w:val="18"/>
              </w:rPr>
              <w:t xml:space="preserve"> sa famille : sentiments, craintes, souffrance morale, perte.</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0A1BE0" w:rsidRDefault="000A1BE0" w:rsidP="000A1BE0">
            <w:pPr>
              <w:rPr>
                <w:sz w:val="18"/>
                <w:szCs w:val="18"/>
              </w:rPr>
            </w:pPr>
          </w:p>
        </w:tc>
      </w:tr>
      <w:tr w:rsidR="000A1BE0" w:rsidTr="00C1438A">
        <w:tc>
          <w:tcPr>
            <w:tcW w:w="988" w:type="dxa"/>
          </w:tcPr>
          <w:p w:rsidR="000A1BE0" w:rsidRDefault="000A1BE0" w:rsidP="000A1BE0">
            <w:pPr>
              <w:rPr>
                <w:sz w:val="18"/>
                <w:szCs w:val="18"/>
              </w:rPr>
            </w:pPr>
          </w:p>
        </w:tc>
        <w:tc>
          <w:tcPr>
            <w:tcW w:w="5244" w:type="dxa"/>
          </w:tcPr>
          <w:p w:rsidR="000A1BE0" w:rsidRDefault="0055376A" w:rsidP="00E367DB">
            <w:pPr>
              <w:rPr>
                <w:sz w:val="18"/>
                <w:szCs w:val="18"/>
              </w:rPr>
            </w:pPr>
            <w:r>
              <w:rPr>
                <w:sz w:val="18"/>
                <w:szCs w:val="18"/>
              </w:rPr>
              <w:t>f. Vérifi</w:t>
            </w:r>
            <w:r w:rsidR="00E367DB">
              <w:rPr>
                <w:sz w:val="18"/>
                <w:szCs w:val="18"/>
              </w:rPr>
              <w:t>er l</w:t>
            </w:r>
            <w:r>
              <w:rPr>
                <w:sz w:val="18"/>
                <w:szCs w:val="18"/>
              </w:rPr>
              <w:t xml:space="preserve">es soutiens </w:t>
            </w:r>
            <w:r w:rsidR="00E367DB">
              <w:rPr>
                <w:sz w:val="18"/>
                <w:szCs w:val="18"/>
              </w:rPr>
              <w:t>dont disposent le ou la</w:t>
            </w:r>
            <w:r>
              <w:rPr>
                <w:sz w:val="18"/>
                <w:szCs w:val="18"/>
              </w:rPr>
              <w:t xml:space="preserve"> client</w:t>
            </w:r>
            <w:r w:rsidR="00E367DB">
              <w:rPr>
                <w:sz w:val="18"/>
                <w:szCs w:val="18"/>
              </w:rPr>
              <w:t>e</w:t>
            </w:r>
            <w:r>
              <w:rPr>
                <w:sz w:val="18"/>
                <w:szCs w:val="18"/>
              </w:rPr>
              <w:t xml:space="preserve"> et sa famille pour contribuer aux soins à domicile.</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0A1BE0" w:rsidRDefault="000A1BE0" w:rsidP="000A1BE0">
            <w:pPr>
              <w:rPr>
                <w:sz w:val="18"/>
                <w:szCs w:val="18"/>
              </w:rPr>
            </w:pPr>
          </w:p>
        </w:tc>
      </w:tr>
      <w:tr w:rsidR="000A1BE0" w:rsidTr="00C1438A">
        <w:tc>
          <w:tcPr>
            <w:tcW w:w="988" w:type="dxa"/>
          </w:tcPr>
          <w:p w:rsidR="000A1BE0" w:rsidRDefault="000A1BE0" w:rsidP="000A1BE0">
            <w:pPr>
              <w:rPr>
                <w:sz w:val="18"/>
                <w:szCs w:val="18"/>
              </w:rPr>
            </w:pPr>
          </w:p>
        </w:tc>
        <w:tc>
          <w:tcPr>
            <w:tcW w:w="5244" w:type="dxa"/>
          </w:tcPr>
          <w:p w:rsidR="000A1BE0" w:rsidRDefault="0055376A" w:rsidP="00E367DB">
            <w:pPr>
              <w:rPr>
                <w:sz w:val="18"/>
                <w:szCs w:val="18"/>
              </w:rPr>
            </w:pPr>
            <w:r>
              <w:rPr>
                <w:sz w:val="18"/>
                <w:szCs w:val="18"/>
              </w:rPr>
              <w:t>g. Évalu</w:t>
            </w:r>
            <w:r w:rsidR="00E367DB">
              <w:rPr>
                <w:sz w:val="18"/>
                <w:szCs w:val="18"/>
              </w:rPr>
              <w:t>er le</w:t>
            </w:r>
            <w:r>
              <w:rPr>
                <w:sz w:val="18"/>
                <w:szCs w:val="18"/>
              </w:rPr>
              <w:t xml:space="preserve">s besoins culturels et spirituels du client et de sa famille; </w:t>
            </w:r>
            <w:r w:rsidR="00E367DB">
              <w:rPr>
                <w:sz w:val="18"/>
                <w:szCs w:val="18"/>
              </w:rPr>
              <w:t xml:space="preserve">en discuter et établir </w:t>
            </w:r>
            <w:r w:rsidR="00E367DB">
              <w:rPr>
                <w:sz w:val="18"/>
                <w:szCs w:val="18"/>
              </w:rPr>
              <w:t xml:space="preserve">un </w:t>
            </w:r>
            <w:r>
              <w:rPr>
                <w:sz w:val="18"/>
                <w:szCs w:val="18"/>
              </w:rPr>
              <w:t>plan.</w:t>
            </w:r>
          </w:p>
        </w:tc>
        <w:tc>
          <w:tcPr>
            <w:tcW w:w="1134" w:type="dxa"/>
          </w:tcPr>
          <w:p w:rsidR="000A1BE0" w:rsidRDefault="000A1BE0" w:rsidP="000A1BE0">
            <w:pPr>
              <w:rPr>
                <w:sz w:val="18"/>
                <w:szCs w:val="18"/>
              </w:rPr>
            </w:pPr>
          </w:p>
        </w:tc>
        <w:tc>
          <w:tcPr>
            <w:tcW w:w="1118" w:type="dxa"/>
          </w:tcPr>
          <w:p w:rsidR="000A1BE0" w:rsidRDefault="000A1BE0"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26048F" w:rsidP="00E367DB">
            <w:pPr>
              <w:rPr>
                <w:sz w:val="18"/>
                <w:szCs w:val="18"/>
              </w:rPr>
            </w:pPr>
            <w:r>
              <w:rPr>
                <w:sz w:val="18"/>
                <w:szCs w:val="18"/>
              </w:rPr>
              <w:t xml:space="preserve">h. </w:t>
            </w:r>
            <w:r w:rsidR="00E367DB">
              <w:rPr>
                <w:sz w:val="18"/>
                <w:szCs w:val="18"/>
              </w:rPr>
              <w:t>Donner du soutien</w:t>
            </w:r>
            <w:r w:rsidR="00940A5D">
              <w:rPr>
                <w:sz w:val="18"/>
                <w:szCs w:val="18"/>
              </w:rPr>
              <w:t xml:space="preserve"> et </w:t>
            </w:r>
            <w:r w:rsidR="00E367DB">
              <w:rPr>
                <w:sz w:val="18"/>
                <w:szCs w:val="18"/>
              </w:rPr>
              <w:t xml:space="preserve">des </w:t>
            </w:r>
            <w:r w:rsidR="00940A5D">
              <w:rPr>
                <w:sz w:val="18"/>
                <w:szCs w:val="18"/>
              </w:rPr>
              <w:t>conseils sur les symptômes et sur les réactions émotionnelles.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E367DB" w:rsidP="000A1BE0">
            <w:pPr>
              <w:rPr>
                <w:sz w:val="18"/>
                <w:szCs w:val="18"/>
              </w:rPr>
            </w:pPr>
            <w:r>
              <w:rPr>
                <w:sz w:val="18"/>
                <w:szCs w:val="18"/>
              </w:rPr>
              <w:t>i. Établir un p</w:t>
            </w:r>
            <w:r w:rsidR="00940A5D">
              <w:rPr>
                <w:sz w:val="18"/>
                <w:szCs w:val="18"/>
              </w:rPr>
              <w:t>lan de soins de relève pour les soignants naturels (y compris bénévoles en soins palliatifs).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940A5D" w:rsidP="000A1BE0">
            <w:pPr>
              <w:rPr>
                <w:sz w:val="18"/>
                <w:szCs w:val="18"/>
              </w:rPr>
            </w:pPr>
            <w:r>
              <w:rPr>
                <w:sz w:val="18"/>
                <w:szCs w:val="18"/>
              </w:rPr>
              <w:t>j. Éducation et formation de la famille et des soignants :</w:t>
            </w:r>
          </w:p>
          <w:p w:rsidR="00940A5D" w:rsidRDefault="00940A5D" w:rsidP="000A1BE0">
            <w:pPr>
              <w:rPr>
                <w:sz w:val="18"/>
                <w:szCs w:val="18"/>
              </w:rPr>
            </w:pPr>
            <w:r>
              <w:rPr>
                <w:sz w:val="18"/>
                <w:szCs w:val="18"/>
              </w:rPr>
              <w:t xml:space="preserve">- À quoi s’attendre avec l’évolution de la maladie; brochure d’information </w:t>
            </w:r>
            <w:r w:rsidR="00441382" w:rsidRPr="00441382">
              <w:rPr>
                <w:i/>
                <w:sz w:val="18"/>
                <w:szCs w:val="18"/>
              </w:rPr>
              <w:t>When Death Occurs at Home</w:t>
            </w:r>
            <w:r w:rsidR="00441382">
              <w:rPr>
                <w:sz w:val="18"/>
                <w:szCs w:val="18"/>
              </w:rPr>
              <w:t>;</w:t>
            </w:r>
          </w:p>
          <w:p w:rsidR="00441382" w:rsidRDefault="00441382" w:rsidP="000A1BE0">
            <w:pPr>
              <w:rPr>
                <w:sz w:val="18"/>
                <w:szCs w:val="18"/>
              </w:rPr>
            </w:pPr>
            <w:r>
              <w:rPr>
                <w:sz w:val="18"/>
                <w:szCs w:val="18"/>
              </w:rPr>
              <w:t>- Personnes à appeler quand l’état de santé du client change;</w:t>
            </w:r>
          </w:p>
          <w:p w:rsidR="00441382" w:rsidRDefault="00441382" w:rsidP="00441382">
            <w:pPr>
              <w:rPr>
                <w:sz w:val="18"/>
                <w:szCs w:val="18"/>
              </w:rPr>
            </w:pPr>
            <w:r>
              <w:rPr>
                <w:sz w:val="18"/>
                <w:szCs w:val="18"/>
              </w:rPr>
              <w:t>- Consentement du client et de sa famille sur la divulgation de ses renseignements aux professionnels de la santé</w:t>
            </w:r>
            <w:r w:rsidR="00381AD3">
              <w:rPr>
                <w:sz w:val="18"/>
                <w:szCs w:val="18"/>
              </w:rPr>
              <w:t xml:space="preserve"> et au salon funéraire.</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AD42FE" w:rsidP="000A1BE0">
            <w:pPr>
              <w:rPr>
                <w:sz w:val="18"/>
                <w:szCs w:val="18"/>
              </w:rPr>
            </w:pPr>
            <w:r>
              <w:rPr>
                <w:sz w:val="18"/>
                <w:szCs w:val="18"/>
              </w:rPr>
              <w:t xml:space="preserve">k. Encourager la famille à </w:t>
            </w:r>
            <w:r w:rsidR="00381AD3">
              <w:rPr>
                <w:sz w:val="18"/>
                <w:szCs w:val="18"/>
              </w:rPr>
              <w:t>aviser le salon funéraire du plan de décès à domicile.</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381AD3" w:rsidP="00381AD3">
            <w:pPr>
              <w:rPr>
                <w:sz w:val="18"/>
                <w:szCs w:val="18"/>
              </w:rPr>
            </w:pPr>
            <w:r w:rsidRPr="00381AD3">
              <w:rPr>
                <w:sz w:val="18"/>
                <w:szCs w:val="18"/>
              </w:rPr>
              <w:t>2.</w:t>
            </w:r>
            <w:r>
              <w:rPr>
                <w:sz w:val="18"/>
                <w:szCs w:val="18"/>
              </w:rPr>
              <w:t xml:space="preserve"> </w:t>
            </w:r>
            <w:r w:rsidRPr="00AD42FE">
              <w:rPr>
                <w:b/>
                <w:sz w:val="18"/>
                <w:szCs w:val="18"/>
              </w:rPr>
              <w:t>Ordonnance de ne pas ranimer</w:t>
            </w:r>
          </w:p>
          <w:p w:rsidR="00381AD3" w:rsidRPr="00381AD3" w:rsidRDefault="00381AD3" w:rsidP="00381AD3">
            <w:pPr>
              <w:rPr>
                <w:sz w:val="18"/>
                <w:szCs w:val="18"/>
              </w:rPr>
            </w:pPr>
            <w:r>
              <w:rPr>
                <w:sz w:val="18"/>
                <w:szCs w:val="18"/>
              </w:rPr>
              <w:t>a. Discuter des directives du client et de sa famille sur la réanimation et sur d’autres interventions;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381AD3" w:rsidP="00012FEB">
            <w:pPr>
              <w:rPr>
                <w:sz w:val="18"/>
                <w:szCs w:val="18"/>
              </w:rPr>
            </w:pPr>
            <w:r>
              <w:rPr>
                <w:sz w:val="18"/>
                <w:szCs w:val="18"/>
              </w:rPr>
              <w:t xml:space="preserve">b. Remplir le </w:t>
            </w:r>
            <w:r w:rsidR="00012FEB">
              <w:rPr>
                <w:sz w:val="18"/>
                <w:szCs w:val="18"/>
              </w:rPr>
              <w:t>F</w:t>
            </w:r>
            <w:r>
              <w:rPr>
                <w:sz w:val="18"/>
                <w:szCs w:val="18"/>
              </w:rPr>
              <w:t>ormulaire de confirmation de l’ordonnance et en placer une copie dans le dossier tenu à domicile;</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381AD3" w:rsidP="00012FEB">
            <w:pPr>
              <w:rPr>
                <w:sz w:val="18"/>
                <w:szCs w:val="18"/>
              </w:rPr>
            </w:pPr>
            <w:r>
              <w:rPr>
                <w:sz w:val="18"/>
                <w:szCs w:val="18"/>
              </w:rPr>
              <w:t xml:space="preserve">c. Remplir la section du </w:t>
            </w:r>
            <w:r w:rsidR="00012FEB">
              <w:rPr>
                <w:sz w:val="18"/>
                <w:szCs w:val="18"/>
              </w:rPr>
              <w:t>F</w:t>
            </w:r>
            <w:r>
              <w:rPr>
                <w:sz w:val="18"/>
                <w:szCs w:val="18"/>
              </w:rPr>
              <w:t>ormulaire de préparation au décès à domicile sur l’ordonnance de réanimation.</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381AD3" w:rsidP="000A1BE0">
            <w:pPr>
              <w:rPr>
                <w:sz w:val="18"/>
                <w:szCs w:val="18"/>
              </w:rPr>
            </w:pPr>
            <w:r>
              <w:rPr>
                <w:sz w:val="18"/>
                <w:szCs w:val="18"/>
              </w:rPr>
              <w:t>d. Le médecin traitant ou l’IP s’engage à aller au salon, ou le salon s’engage à aller voir le médecin ou l’IP pour signer le certificat de décès.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012FEB" w:rsidP="000A1BE0">
            <w:pPr>
              <w:rPr>
                <w:sz w:val="18"/>
                <w:szCs w:val="18"/>
              </w:rPr>
            </w:pPr>
            <w:r>
              <w:rPr>
                <w:sz w:val="18"/>
                <w:szCs w:val="18"/>
              </w:rPr>
              <w:t xml:space="preserve">e. Le professionnel de la santé reçoit les renseignements sur le salon funéraire et remplit cette section du </w:t>
            </w:r>
            <w:r>
              <w:rPr>
                <w:sz w:val="18"/>
                <w:szCs w:val="18"/>
              </w:rPr>
              <w:t>Formulaire de préparation au décès à domicile</w:t>
            </w:r>
            <w:r>
              <w:rPr>
                <w:sz w:val="18"/>
                <w:szCs w:val="18"/>
              </w:rPr>
              <w:t>.</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012FEB" w:rsidP="000A1BE0">
            <w:pPr>
              <w:rPr>
                <w:sz w:val="18"/>
                <w:szCs w:val="18"/>
              </w:rPr>
            </w:pPr>
            <w:r>
              <w:rPr>
                <w:sz w:val="18"/>
                <w:szCs w:val="18"/>
              </w:rPr>
              <w:t xml:space="preserve">f. </w:t>
            </w:r>
            <w:r w:rsidR="00982B91">
              <w:rPr>
                <w:sz w:val="18"/>
                <w:szCs w:val="18"/>
              </w:rPr>
              <w:t>Le salon funéraire accepte d’emmener le corps même si le certificat de décès n’est pas dûment rempli et signé.</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Pr="00982B91" w:rsidRDefault="00982B91" w:rsidP="000A1BE0">
            <w:pPr>
              <w:rPr>
                <w:b/>
                <w:sz w:val="18"/>
                <w:szCs w:val="18"/>
              </w:rPr>
            </w:pPr>
            <w:r w:rsidRPr="00982B91">
              <w:rPr>
                <w:b/>
                <w:sz w:val="18"/>
                <w:szCs w:val="18"/>
              </w:rPr>
              <w:t>4. Communications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Pr="00982B91" w:rsidRDefault="00982B91" w:rsidP="00982B91">
            <w:pPr>
              <w:rPr>
                <w:sz w:val="18"/>
                <w:szCs w:val="18"/>
              </w:rPr>
            </w:pPr>
            <w:r w:rsidRPr="00982B91">
              <w:rPr>
                <w:sz w:val="18"/>
                <w:szCs w:val="18"/>
              </w:rPr>
              <w:t>a.</w:t>
            </w:r>
            <w:r>
              <w:rPr>
                <w:sz w:val="18"/>
                <w:szCs w:val="18"/>
              </w:rPr>
              <w:t xml:space="preserve"> </w:t>
            </w:r>
            <w:r w:rsidR="007F01BA">
              <w:rPr>
                <w:sz w:val="18"/>
                <w:szCs w:val="18"/>
              </w:rPr>
              <w:t>L’infirmière met le CC au courant du plan de préparation au décès à domicile.</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982B91" w:rsidP="000A1BE0">
            <w:pPr>
              <w:rPr>
                <w:sz w:val="18"/>
                <w:szCs w:val="18"/>
              </w:rPr>
            </w:pPr>
            <w:r>
              <w:rPr>
                <w:sz w:val="18"/>
                <w:szCs w:val="18"/>
              </w:rPr>
              <w:t xml:space="preserve">b. </w:t>
            </w:r>
            <w:r>
              <w:rPr>
                <w:sz w:val="18"/>
                <w:szCs w:val="18"/>
              </w:rPr>
              <w:t>L’infirmière télécopie le Formulaire de préparation au décès à domicile dûment rempli au CC pour qu’on le distribue aux professionnels de la santé.</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7F01BA" w:rsidP="000A1BE0">
            <w:pPr>
              <w:rPr>
                <w:sz w:val="18"/>
                <w:szCs w:val="18"/>
              </w:rPr>
            </w:pPr>
            <w:r>
              <w:rPr>
                <w:sz w:val="18"/>
                <w:szCs w:val="18"/>
              </w:rPr>
              <w:t>c. En cas de blessure précédant le décès (chute, fracture de la hanche, etc.), l’infirmière avise le coroner avant de laisser le salon funéraire emmener le corps, en appelant le centre ouvert 24 heures sur 24 au 1</w:t>
            </w:r>
            <w:r>
              <w:rPr>
                <w:sz w:val="18"/>
                <w:szCs w:val="18"/>
              </w:rPr>
              <w:noBreakHyphen/>
              <w:t>855</w:t>
            </w:r>
            <w:r>
              <w:rPr>
                <w:sz w:val="18"/>
                <w:szCs w:val="18"/>
              </w:rPr>
              <w:noBreakHyphen/>
              <w:t>299</w:t>
            </w:r>
            <w:r>
              <w:rPr>
                <w:sz w:val="18"/>
                <w:szCs w:val="18"/>
              </w:rPr>
              <w:noBreakHyphen/>
              <w:t>4100 ou 1</w:t>
            </w:r>
            <w:r>
              <w:rPr>
                <w:sz w:val="18"/>
                <w:szCs w:val="18"/>
              </w:rPr>
              <w:noBreakHyphen/>
              <w:t>417</w:t>
            </w:r>
            <w:r>
              <w:rPr>
                <w:sz w:val="18"/>
                <w:szCs w:val="18"/>
              </w:rPr>
              <w:noBreakHyphen/>
              <w:t>314</w:t>
            </w:r>
            <w:r>
              <w:rPr>
                <w:sz w:val="18"/>
                <w:szCs w:val="18"/>
              </w:rPr>
              <w:noBreakHyphen/>
              <w:t>4100.</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7F01BA" w:rsidP="000A1BE0">
            <w:pPr>
              <w:rPr>
                <w:sz w:val="18"/>
                <w:szCs w:val="18"/>
              </w:rPr>
            </w:pPr>
            <w:r>
              <w:rPr>
                <w:sz w:val="18"/>
                <w:szCs w:val="18"/>
              </w:rPr>
              <w:t xml:space="preserve">d. L’infirmière ou l’agence avise le CC et le médecin ou l’IP </w:t>
            </w:r>
            <w:r w:rsidR="00182445">
              <w:rPr>
                <w:sz w:val="18"/>
                <w:szCs w:val="18"/>
              </w:rPr>
              <w:t xml:space="preserve">du décès du client et confirme au médecin ou à l’IP qu’il ou elle est </w:t>
            </w:r>
            <w:r w:rsidR="00182445">
              <w:rPr>
                <w:sz w:val="18"/>
                <w:szCs w:val="18"/>
              </w:rPr>
              <w:lastRenderedPageBreak/>
              <w:t>responsable de signer le certificat de décès dans un délai de 24 heures.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290A14" w:rsidP="00AD42FE">
            <w:pPr>
              <w:rPr>
                <w:sz w:val="18"/>
                <w:szCs w:val="18"/>
              </w:rPr>
            </w:pPr>
            <w:r>
              <w:rPr>
                <w:sz w:val="18"/>
                <w:szCs w:val="18"/>
              </w:rPr>
              <w:t xml:space="preserve">e. </w:t>
            </w:r>
            <w:r w:rsidR="00AD42FE">
              <w:rPr>
                <w:sz w:val="18"/>
                <w:szCs w:val="18"/>
              </w:rPr>
              <w:t>A</w:t>
            </w:r>
            <w:r>
              <w:rPr>
                <w:sz w:val="18"/>
                <w:szCs w:val="18"/>
              </w:rPr>
              <w:t>vise</w:t>
            </w:r>
            <w:r w:rsidR="00AD42FE">
              <w:rPr>
                <w:sz w:val="18"/>
                <w:szCs w:val="18"/>
              </w:rPr>
              <w:t>r</w:t>
            </w:r>
            <w:r>
              <w:rPr>
                <w:sz w:val="18"/>
                <w:szCs w:val="18"/>
              </w:rPr>
              <w:t xml:space="preserve"> le salon funéraire et prend</w:t>
            </w:r>
            <w:r w:rsidR="00AD42FE">
              <w:rPr>
                <w:sz w:val="18"/>
                <w:szCs w:val="18"/>
              </w:rPr>
              <w:t>re</w:t>
            </w:r>
            <w:r>
              <w:rPr>
                <w:sz w:val="18"/>
                <w:szCs w:val="18"/>
              </w:rPr>
              <w:t xml:space="preserve"> les dispositions nécessaires pour y </w:t>
            </w:r>
            <w:r w:rsidR="00AD42FE">
              <w:rPr>
                <w:sz w:val="18"/>
                <w:szCs w:val="18"/>
              </w:rPr>
              <w:t xml:space="preserve">faire </w:t>
            </w:r>
            <w:r>
              <w:rPr>
                <w:sz w:val="18"/>
                <w:szCs w:val="18"/>
              </w:rPr>
              <w:t>transférer le corps selon les désirs de la famille.</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Pr="00D061E1" w:rsidRDefault="00D061E1" w:rsidP="000A1BE0">
            <w:pPr>
              <w:rPr>
                <w:b/>
                <w:sz w:val="18"/>
                <w:szCs w:val="18"/>
              </w:rPr>
            </w:pPr>
            <w:r w:rsidRPr="00D061E1">
              <w:rPr>
                <w:b/>
                <w:sz w:val="18"/>
                <w:szCs w:val="18"/>
              </w:rPr>
              <w:t>5. Documentation</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Pr="00D061E1" w:rsidRDefault="00D061E1" w:rsidP="00AD42FE">
            <w:pPr>
              <w:rPr>
                <w:sz w:val="18"/>
                <w:szCs w:val="18"/>
              </w:rPr>
            </w:pPr>
            <w:r w:rsidRPr="00D061E1">
              <w:rPr>
                <w:sz w:val="18"/>
                <w:szCs w:val="18"/>
              </w:rPr>
              <w:t>a.</w:t>
            </w:r>
            <w:r>
              <w:rPr>
                <w:sz w:val="18"/>
                <w:szCs w:val="18"/>
              </w:rPr>
              <w:t xml:space="preserve"> </w:t>
            </w:r>
            <w:r w:rsidR="00C17544">
              <w:rPr>
                <w:sz w:val="18"/>
                <w:szCs w:val="18"/>
              </w:rPr>
              <w:t>L’infirmière fait le constat d</w:t>
            </w:r>
            <w:r w:rsidR="00AD42FE">
              <w:rPr>
                <w:sz w:val="18"/>
                <w:szCs w:val="18"/>
              </w:rPr>
              <w:t>u</w:t>
            </w:r>
            <w:r w:rsidR="00C17544">
              <w:rPr>
                <w:sz w:val="18"/>
                <w:szCs w:val="18"/>
              </w:rPr>
              <w:t xml:space="preserve"> décès et remplit le Formulaire de transfert au salon funéraire.</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C17544" w:rsidP="000A1BE0">
            <w:pPr>
              <w:rPr>
                <w:sz w:val="18"/>
                <w:szCs w:val="18"/>
              </w:rPr>
            </w:pPr>
            <w:r>
              <w:rPr>
                <w:sz w:val="18"/>
                <w:szCs w:val="18"/>
              </w:rPr>
              <w:t xml:space="preserve">b. L’infirmière remet le </w:t>
            </w:r>
            <w:r>
              <w:rPr>
                <w:sz w:val="18"/>
                <w:szCs w:val="18"/>
              </w:rPr>
              <w:t>Formulaire de transfert au salon funéraire</w:t>
            </w:r>
            <w:r>
              <w:rPr>
                <w:sz w:val="18"/>
                <w:szCs w:val="18"/>
              </w:rPr>
              <w:t xml:space="preserve"> et le certificat médical de décès au salon pour le transfert du corps.</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C17544" w:rsidP="000A1BE0">
            <w:pPr>
              <w:rPr>
                <w:sz w:val="18"/>
                <w:szCs w:val="18"/>
              </w:rPr>
            </w:pPr>
            <w:r>
              <w:rPr>
                <w:sz w:val="18"/>
                <w:szCs w:val="18"/>
              </w:rPr>
              <w:t xml:space="preserve">c. </w:t>
            </w:r>
            <w:r w:rsidR="004C16BB">
              <w:rPr>
                <w:sz w:val="18"/>
                <w:szCs w:val="18"/>
              </w:rPr>
              <w:t>L’infirmière remplit le Rapport de congédiement des fournisseurs de services et le télécopie au CASC.</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r w:rsidR="0055376A" w:rsidTr="00C1438A">
        <w:tc>
          <w:tcPr>
            <w:tcW w:w="988" w:type="dxa"/>
          </w:tcPr>
          <w:p w:rsidR="0055376A" w:rsidRDefault="0055376A" w:rsidP="000A1BE0">
            <w:pPr>
              <w:rPr>
                <w:sz w:val="18"/>
                <w:szCs w:val="18"/>
              </w:rPr>
            </w:pPr>
          </w:p>
        </w:tc>
        <w:tc>
          <w:tcPr>
            <w:tcW w:w="5244" w:type="dxa"/>
          </w:tcPr>
          <w:p w:rsidR="0055376A" w:rsidRDefault="004C16BB" w:rsidP="00AD42FE">
            <w:pPr>
              <w:rPr>
                <w:sz w:val="18"/>
                <w:szCs w:val="18"/>
              </w:rPr>
            </w:pPr>
            <w:r>
              <w:rPr>
                <w:sz w:val="18"/>
                <w:szCs w:val="18"/>
              </w:rPr>
              <w:t xml:space="preserve">d. L’infirmière prend le dossier </w:t>
            </w:r>
            <w:r w:rsidR="00AD42FE">
              <w:rPr>
                <w:sz w:val="18"/>
                <w:szCs w:val="18"/>
              </w:rPr>
              <w:t>tenu</w:t>
            </w:r>
            <w:r>
              <w:rPr>
                <w:sz w:val="18"/>
                <w:szCs w:val="18"/>
              </w:rPr>
              <w:t xml:space="preserve"> au domicile </w:t>
            </w:r>
            <w:r w:rsidR="00AD42FE">
              <w:rPr>
                <w:sz w:val="18"/>
                <w:szCs w:val="18"/>
              </w:rPr>
              <w:t xml:space="preserve">du ou de la cliente </w:t>
            </w:r>
            <w:bookmarkStart w:id="0" w:name="_GoBack"/>
            <w:bookmarkEnd w:id="0"/>
            <w:r>
              <w:rPr>
                <w:sz w:val="18"/>
                <w:szCs w:val="18"/>
              </w:rPr>
              <w:t>et l’envoie au CASC.</w:t>
            </w:r>
          </w:p>
        </w:tc>
        <w:tc>
          <w:tcPr>
            <w:tcW w:w="1134" w:type="dxa"/>
          </w:tcPr>
          <w:p w:rsidR="0055376A" w:rsidRDefault="0055376A" w:rsidP="000A1BE0">
            <w:pPr>
              <w:rPr>
                <w:sz w:val="18"/>
                <w:szCs w:val="18"/>
              </w:rPr>
            </w:pPr>
          </w:p>
        </w:tc>
        <w:tc>
          <w:tcPr>
            <w:tcW w:w="1118" w:type="dxa"/>
          </w:tcPr>
          <w:p w:rsidR="0055376A" w:rsidRDefault="0055376A" w:rsidP="000A1BE0">
            <w:pPr>
              <w:rPr>
                <w:sz w:val="18"/>
                <w:szCs w:val="18"/>
              </w:rPr>
            </w:pPr>
          </w:p>
        </w:tc>
        <w:tc>
          <w:tcPr>
            <w:tcW w:w="866" w:type="dxa"/>
          </w:tcPr>
          <w:p w:rsidR="0055376A" w:rsidRDefault="0055376A" w:rsidP="000A1BE0">
            <w:pPr>
              <w:rPr>
                <w:sz w:val="18"/>
                <w:szCs w:val="18"/>
              </w:rPr>
            </w:pPr>
          </w:p>
        </w:tc>
      </w:tr>
    </w:tbl>
    <w:p w:rsidR="000A1BE0" w:rsidRDefault="000A1BE0" w:rsidP="000A1BE0">
      <w:pPr>
        <w:rPr>
          <w:sz w:val="18"/>
          <w:szCs w:val="18"/>
        </w:rPr>
      </w:pPr>
    </w:p>
    <w:p w:rsidR="005470C7" w:rsidRDefault="005470C7" w:rsidP="000A1BE0">
      <w:pPr>
        <w:rPr>
          <w:sz w:val="18"/>
          <w:szCs w:val="18"/>
        </w:rPr>
      </w:pPr>
      <w:r>
        <w:rPr>
          <w:sz w:val="18"/>
          <w:szCs w:val="18"/>
        </w:rPr>
        <w:t>Rempli par ___________________________ Agence _____________________ Date __________________________</w:t>
      </w:r>
    </w:p>
    <w:p w:rsidR="005470C7" w:rsidRPr="000A1BE0" w:rsidRDefault="005470C7" w:rsidP="005470C7">
      <w:pPr>
        <w:rPr>
          <w:sz w:val="18"/>
          <w:szCs w:val="18"/>
        </w:rPr>
      </w:pPr>
      <w:r>
        <w:rPr>
          <w:sz w:val="18"/>
          <w:szCs w:val="18"/>
        </w:rPr>
        <w:t>Rempli par ___________________________ Agence _____________________ Date __________________________</w:t>
      </w:r>
    </w:p>
    <w:p w:rsidR="005470C7" w:rsidRPr="000A1BE0" w:rsidRDefault="005470C7" w:rsidP="005470C7">
      <w:pPr>
        <w:rPr>
          <w:sz w:val="18"/>
          <w:szCs w:val="18"/>
        </w:rPr>
      </w:pPr>
      <w:r>
        <w:rPr>
          <w:sz w:val="18"/>
          <w:szCs w:val="18"/>
        </w:rPr>
        <w:t>Rempli par ___________________________ Agence _____________________ Date __________________________</w:t>
      </w:r>
    </w:p>
    <w:p w:rsidR="005470C7" w:rsidRPr="000A1BE0" w:rsidRDefault="005470C7" w:rsidP="000A1BE0">
      <w:pPr>
        <w:rPr>
          <w:sz w:val="18"/>
          <w:szCs w:val="18"/>
        </w:rPr>
      </w:pPr>
    </w:p>
    <w:sectPr w:rsidR="005470C7" w:rsidRPr="000A1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58C"/>
    <w:multiLevelType w:val="hybridMultilevel"/>
    <w:tmpl w:val="0CB4B43A"/>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C36523"/>
    <w:multiLevelType w:val="hybridMultilevel"/>
    <w:tmpl w:val="7A44EF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6574209"/>
    <w:multiLevelType w:val="hybridMultilevel"/>
    <w:tmpl w:val="5510C0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E9A5AAE"/>
    <w:multiLevelType w:val="hybridMultilevel"/>
    <w:tmpl w:val="B48498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DD"/>
    <w:rsid w:val="00012FEB"/>
    <w:rsid w:val="000A1BE0"/>
    <w:rsid w:val="00180BAD"/>
    <w:rsid w:val="00182445"/>
    <w:rsid w:val="0026048F"/>
    <w:rsid w:val="00290A14"/>
    <w:rsid w:val="00381AD3"/>
    <w:rsid w:val="004258CC"/>
    <w:rsid w:val="00441382"/>
    <w:rsid w:val="00447DDD"/>
    <w:rsid w:val="00481D6F"/>
    <w:rsid w:val="004C16BB"/>
    <w:rsid w:val="005470C7"/>
    <w:rsid w:val="0055376A"/>
    <w:rsid w:val="007F01BA"/>
    <w:rsid w:val="00940A5D"/>
    <w:rsid w:val="0097420A"/>
    <w:rsid w:val="00982B91"/>
    <w:rsid w:val="00AD42FE"/>
    <w:rsid w:val="00B76078"/>
    <w:rsid w:val="00C1438A"/>
    <w:rsid w:val="00C17544"/>
    <w:rsid w:val="00D061E1"/>
    <w:rsid w:val="00E367DB"/>
    <w:rsid w:val="00ED0EDD"/>
    <w:rsid w:val="00EE37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3B2D-A507-4C76-8FDD-A9CDFE4A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CC"/>
    <w:pPr>
      <w:spacing w:after="0" w:line="240" w:lineRule="auto"/>
    </w:pPr>
    <w:rPr>
      <w:rFonts w:ascii="Times New Roman" w:eastAsia="PMingLiU"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Claire-Line Aecherli</dc:creator>
  <cp:keywords/>
  <dc:description/>
  <cp:lastModifiedBy>Claire-Line Aecherli</cp:lastModifiedBy>
  <cp:revision>20</cp:revision>
  <dcterms:created xsi:type="dcterms:W3CDTF">2017-02-11T13:53:00Z</dcterms:created>
  <dcterms:modified xsi:type="dcterms:W3CDTF">2017-02-11T17:14:00Z</dcterms:modified>
</cp:coreProperties>
</file>